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C5D04" w14:textId="77777777" w:rsidR="008C7512" w:rsidRPr="005F6B73" w:rsidRDefault="008C7512" w:rsidP="007A157F">
      <w:pPr>
        <w:spacing w:after="0"/>
        <w:ind w:left="-1440" w:right="11726"/>
        <w:rPr>
          <w:rFonts w:ascii="Tw Cen MT" w:hAnsi="Tw Cen MT"/>
        </w:rPr>
      </w:pPr>
    </w:p>
    <w:tbl>
      <w:tblPr>
        <w:tblStyle w:val="TableGrid"/>
        <w:tblW w:w="5000" w:type="pct"/>
        <w:tblInd w:w="0" w:type="dxa"/>
        <w:tblCellMar>
          <w:top w:w="40" w:type="dxa"/>
          <w:left w:w="107" w:type="dxa"/>
          <w:right w:w="61" w:type="dxa"/>
        </w:tblCellMar>
        <w:tblLook w:val="04A0" w:firstRow="1" w:lastRow="0" w:firstColumn="1" w:lastColumn="0" w:noHBand="0" w:noVBand="1"/>
      </w:tblPr>
      <w:tblGrid>
        <w:gridCol w:w="15388"/>
      </w:tblGrid>
      <w:tr w:rsidR="008C7512" w:rsidRPr="005F6B73" w14:paraId="46C1370E" w14:textId="77777777" w:rsidTr="00091C45">
        <w:trPr>
          <w:trHeight w:val="707"/>
        </w:trPr>
        <w:tc>
          <w:tcPr>
            <w:tcW w:w="5000" w:type="pct"/>
            <w:tcBorders>
              <w:top w:val="single" w:sz="4" w:space="0" w:color="000000"/>
              <w:left w:val="single" w:sz="4" w:space="0" w:color="000000"/>
              <w:bottom w:val="single" w:sz="4" w:space="0" w:color="000000"/>
              <w:right w:val="single" w:sz="4" w:space="0" w:color="000000"/>
            </w:tcBorders>
            <w:shd w:val="clear" w:color="auto" w:fill="00B0F0"/>
          </w:tcPr>
          <w:p w14:paraId="65F95205" w14:textId="3FF9A43B" w:rsidR="008C7512" w:rsidRPr="005F6B73" w:rsidRDefault="00805E96" w:rsidP="007A157F">
            <w:pPr>
              <w:ind w:left="2335" w:right="50"/>
              <w:jc w:val="center"/>
              <w:rPr>
                <w:rFonts w:ascii="Tw Cen MT" w:hAnsi="Tw Cen MT"/>
              </w:rPr>
            </w:pPr>
            <w:r w:rsidRPr="005F6B73">
              <w:rPr>
                <w:rFonts w:ascii="Tw Cen MT" w:hAnsi="Tw Cen MT"/>
                <w:noProof/>
              </w:rPr>
              <w:drawing>
                <wp:anchor distT="0" distB="0" distL="114300" distR="114300" simplePos="0" relativeHeight="251660288" behindDoc="0" locked="0" layoutInCell="1" allowOverlap="0" wp14:anchorId="5B3CC62B" wp14:editId="458B36EA">
                  <wp:simplePos x="0" y="0"/>
                  <wp:positionH relativeFrom="column">
                    <wp:posOffset>1550670</wp:posOffset>
                  </wp:positionH>
                  <wp:positionV relativeFrom="paragraph">
                    <wp:posOffset>4812</wp:posOffset>
                  </wp:positionV>
                  <wp:extent cx="320040" cy="320040"/>
                  <wp:effectExtent l="0" t="0" r="0" b="0"/>
                  <wp:wrapSquare wrapText="bothSides"/>
                  <wp:docPr id="376" name="Picture 376"/>
                  <wp:cNvGraphicFramePr/>
                  <a:graphic xmlns:a="http://schemas.openxmlformats.org/drawingml/2006/main">
                    <a:graphicData uri="http://schemas.openxmlformats.org/drawingml/2006/picture">
                      <pic:pic xmlns:pic="http://schemas.openxmlformats.org/drawingml/2006/picture">
                        <pic:nvPicPr>
                          <pic:cNvPr id="376" name="Picture 376"/>
                          <pic:cNvPicPr/>
                        </pic:nvPicPr>
                        <pic:blipFill>
                          <a:blip r:embed="rId8"/>
                          <a:stretch>
                            <a:fillRect/>
                          </a:stretch>
                        </pic:blipFill>
                        <pic:spPr>
                          <a:xfrm>
                            <a:off x="0" y="0"/>
                            <a:ext cx="320040" cy="320040"/>
                          </a:xfrm>
                          <a:prstGeom prst="rect">
                            <a:avLst/>
                          </a:prstGeom>
                        </pic:spPr>
                      </pic:pic>
                    </a:graphicData>
                  </a:graphic>
                </wp:anchor>
              </w:drawing>
            </w:r>
            <w:r w:rsidRPr="005F6B73">
              <w:rPr>
                <w:rFonts w:ascii="Tw Cen MT" w:eastAsia="Tw Cen MT" w:hAnsi="Tw Cen MT" w:cs="Tw Cen MT"/>
                <w:color w:val="FFFFFF"/>
                <w:sz w:val="36"/>
              </w:rPr>
              <w:t xml:space="preserve">Gotham Primary </w:t>
            </w:r>
            <w:r w:rsidR="005F6B73" w:rsidRPr="005F6B73">
              <w:rPr>
                <w:rFonts w:ascii="Tw Cen MT" w:eastAsia="Tw Cen MT" w:hAnsi="Tw Cen MT" w:cs="Tw Cen MT"/>
                <w:color w:val="FFFFFF"/>
                <w:sz w:val="36"/>
              </w:rPr>
              <w:t>Vision for Mathematics</w:t>
            </w:r>
          </w:p>
          <w:p w14:paraId="28CC756A" w14:textId="77777777" w:rsidR="008C7512" w:rsidRPr="005F6B73" w:rsidRDefault="00805E96" w:rsidP="007A157F">
            <w:pPr>
              <w:ind w:left="2335"/>
              <w:jc w:val="center"/>
              <w:rPr>
                <w:rFonts w:ascii="Tw Cen MT" w:hAnsi="Tw Cen MT"/>
              </w:rPr>
            </w:pPr>
            <w:r w:rsidRPr="005F6B73">
              <w:rPr>
                <w:rFonts w:ascii="Tw Cen MT" w:eastAsia="Tw Cen MT" w:hAnsi="Tw Cen MT" w:cs="Tw Cen MT"/>
                <w:sz w:val="28"/>
              </w:rPr>
              <w:t xml:space="preserve"> </w:t>
            </w:r>
          </w:p>
        </w:tc>
      </w:tr>
    </w:tbl>
    <w:p w14:paraId="179FB9E9" w14:textId="279C30EC" w:rsidR="007A157F" w:rsidRPr="005F6B73" w:rsidRDefault="007A157F" w:rsidP="007A157F">
      <w:pPr>
        <w:spacing w:after="0"/>
        <w:rPr>
          <w:rFonts w:ascii="Tw Cen MT" w:hAnsi="Tw Cen MT"/>
        </w:rPr>
      </w:pPr>
    </w:p>
    <w:p w14:paraId="6CE1C344" w14:textId="1BBA1506" w:rsidR="005F6B73" w:rsidRPr="005F6B73" w:rsidRDefault="007A157F" w:rsidP="005F6B73">
      <w:pPr>
        <w:spacing w:after="0"/>
        <w:rPr>
          <w:rFonts w:ascii="Tw Cen MT" w:eastAsia="Tw Cen MT" w:hAnsi="Tw Cen MT" w:cs="Tw Cen MT"/>
          <w:b/>
          <w:sz w:val="28"/>
        </w:rPr>
      </w:pPr>
      <w:r w:rsidRPr="007A157F">
        <w:rPr>
          <w:rFonts w:ascii="Tw Cen MT" w:eastAsia="Tw Cen MT" w:hAnsi="Tw Cen MT" w:cs="Tw Cen MT"/>
          <w:b/>
          <w:sz w:val="28"/>
        </w:rPr>
        <w:t>“</w:t>
      </w:r>
      <w:r w:rsidR="005F6B73" w:rsidRPr="005F6B73">
        <w:rPr>
          <w:rFonts w:ascii="Tw Cen MT" w:eastAsia="Tw Cen MT" w:hAnsi="Tw Cen MT" w:cs="Tw Cen MT"/>
          <w:b/>
          <w:sz w:val="28"/>
        </w:rPr>
        <w:t>Wherever there is number, there is beauty.</w:t>
      </w:r>
      <w:r w:rsidR="005F6B73" w:rsidRPr="005F6B73">
        <w:rPr>
          <w:rFonts w:ascii="Tw Cen MT" w:eastAsia="Tw Cen MT" w:hAnsi="Tw Cen MT" w:cs="Tw Cen MT"/>
          <w:b/>
          <w:sz w:val="28"/>
        </w:rPr>
        <w:t>”</w:t>
      </w:r>
    </w:p>
    <w:p w14:paraId="5AD0AF9C" w14:textId="2C0CE763" w:rsidR="007A157F" w:rsidRPr="007A157F" w:rsidRDefault="005F6B73" w:rsidP="005F6B73">
      <w:pPr>
        <w:spacing w:after="0"/>
        <w:rPr>
          <w:rFonts w:ascii="Tw Cen MT" w:eastAsia="Tw Cen MT" w:hAnsi="Tw Cen MT" w:cs="Tw Cen MT"/>
        </w:rPr>
      </w:pPr>
      <w:r w:rsidRPr="005F6B73">
        <w:rPr>
          <w:rFonts w:ascii="Tw Cen MT" w:eastAsia="Tw Cen MT" w:hAnsi="Tw Cen MT" w:cs="Tw Cen MT"/>
          <w:b/>
          <w:sz w:val="28"/>
        </w:rPr>
        <w:t>— Proclus, Greek philosopher</w:t>
      </w:r>
    </w:p>
    <w:p w14:paraId="0515E555" w14:textId="77777777" w:rsidR="007A157F" w:rsidRPr="005F6B73" w:rsidRDefault="007A157F" w:rsidP="007A157F">
      <w:pPr>
        <w:spacing w:after="0" w:line="257" w:lineRule="auto"/>
        <w:ind w:left="-5" w:hanging="10"/>
        <w:rPr>
          <w:rFonts w:ascii="Tw Cen MT" w:eastAsia="Tw Cen MT" w:hAnsi="Tw Cen MT" w:cs="Tw Cen MT"/>
        </w:rPr>
      </w:pPr>
    </w:p>
    <w:p w14:paraId="26D15A69" w14:textId="5B9D7C42" w:rsidR="007A157F" w:rsidRPr="005F6B73" w:rsidRDefault="007A157F" w:rsidP="007A157F">
      <w:pPr>
        <w:spacing w:after="0" w:line="257" w:lineRule="auto"/>
        <w:ind w:left="-5" w:hanging="10"/>
        <w:rPr>
          <w:rFonts w:ascii="Tw Cen MT" w:eastAsia="Tw Cen MT" w:hAnsi="Tw Cen MT" w:cs="Tw Cen MT"/>
        </w:rPr>
      </w:pPr>
      <w:r w:rsidRPr="007A157F">
        <w:rPr>
          <w:rFonts w:ascii="Tw Cen MT" w:eastAsia="Tw Cen MT" w:hAnsi="Tw Cen MT" w:cs="Tw Cen MT"/>
        </w:rPr>
        <w:t xml:space="preserve">At Gotham Primary </w:t>
      </w:r>
      <w:r w:rsidRPr="005F6B73">
        <w:rPr>
          <w:rFonts w:ascii="Tw Cen MT" w:eastAsia="Tw Cen MT" w:hAnsi="Tw Cen MT" w:cs="Tw Cen MT"/>
        </w:rPr>
        <w:t>School</w:t>
      </w:r>
      <w:r w:rsidRPr="005F6B73">
        <w:rPr>
          <w:rFonts w:ascii="Tw Cen MT" w:eastAsia="Tw Cen MT" w:hAnsi="Tw Cen MT" w:cs="Tw Cen MT"/>
        </w:rPr>
        <w:t xml:space="preserve">, </w:t>
      </w:r>
      <w:r w:rsidRPr="007A157F">
        <w:rPr>
          <w:rFonts w:ascii="Tw Cen MT" w:eastAsia="Tw Cen MT" w:hAnsi="Tw Cen MT" w:cs="Tw Cen MT"/>
        </w:rPr>
        <w:t xml:space="preserve">it is our intention and duty that </w:t>
      </w:r>
      <w:r w:rsidRPr="007A157F">
        <w:rPr>
          <w:rFonts w:ascii="Tw Cen MT" w:eastAsia="Tw Cen MT" w:hAnsi="Tw Cen MT" w:cs="Tw Cen MT"/>
          <w:b/>
        </w:rPr>
        <w:t>every</w:t>
      </w:r>
      <w:r w:rsidRPr="007A157F">
        <w:rPr>
          <w:rFonts w:ascii="Tw Cen MT" w:eastAsia="Tw Cen MT" w:hAnsi="Tw Cen MT" w:cs="Tw Cen MT"/>
        </w:rPr>
        <w:t xml:space="preserve"> child not only leaves our school being able to </w:t>
      </w:r>
      <w:r w:rsidRPr="005F6B73">
        <w:rPr>
          <w:rFonts w:ascii="Tw Cen MT" w:eastAsia="Tw Cen MT" w:hAnsi="Tw Cen MT" w:cs="Tw Cen MT"/>
        </w:rPr>
        <w:t>calculate fluently, but see themselves as the mathematician they are. W</w:t>
      </w:r>
      <w:r w:rsidRPr="005F6B73">
        <w:rPr>
          <w:rFonts w:ascii="Tw Cen MT" w:eastAsia="Tw Cen MT" w:hAnsi="Tw Cen MT" w:cs="Tw Cen MT"/>
        </w:rPr>
        <w:t>e have ambition for all, helping pupils to gain enjoyment</w:t>
      </w:r>
      <w:r w:rsidRPr="005F6B73">
        <w:rPr>
          <w:rFonts w:ascii="Tw Cen MT" w:eastAsia="Tw Cen MT" w:hAnsi="Tw Cen MT" w:cs="Tw Cen MT"/>
        </w:rPr>
        <w:t>, resilience and courage</w:t>
      </w:r>
      <w:r w:rsidRPr="005F6B73">
        <w:rPr>
          <w:rFonts w:ascii="Tw Cen MT" w:eastAsia="Tw Cen MT" w:hAnsi="Tw Cen MT" w:cs="Tw Cen MT"/>
        </w:rPr>
        <w:t xml:space="preserve"> through a growing self-confidence in their ability.</w:t>
      </w:r>
    </w:p>
    <w:p w14:paraId="48863A92" w14:textId="77777777" w:rsidR="007A157F" w:rsidRPr="005F6B73" w:rsidRDefault="007A157F" w:rsidP="007A157F">
      <w:pPr>
        <w:spacing w:after="0" w:line="257" w:lineRule="auto"/>
        <w:ind w:left="-5" w:hanging="10"/>
        <w:rPr>
          <w:rFonts w:ascii="Tw Cen MT" w:eastAsia="Tw Cen MT" w:hAnsi="Tw Cen MT" w:cs="Tw Cen MT"/>
        </w:rPr>
      </w:pPr>
    </w:p>
    <w:p w14:paraId="6081D75E" w14:textId="02FD800D" w:rsidR="007A157F" w:rsidRPr="005F6B73" w:rsidRDefault="007A157F" w:rsidP="007A157F">
      <w:pPr>
        <w:spacing w:after="0" w:line="257" w:lineRule="auto"/>
        <w:ind w:left="-5" w:hanging="10"/>
        <w:rPr>
          <w:rFonts w:ascii="Tw Cen MT" w:eastAsia="Tw Cen MT" w:hAnsi="Tw Cen MT" w:cs="Tw Cen MT"/>
        </w:rPr>
      </w:pPr>
      <w:r w:rsidRPr="005F6B73">
        <w:rPr>
          <w:rFonts w:ascii="Tw Cen MT" w:eastAsia="Tw Cen MT" w:hAnsi="Tw Cen MT" w:cs="Tw Cen MT"/>
        </w:rPr>
        <w:t xml:space="preserve">Our </w:t>
      </w:r>
      <w:r w:rsidRPr="005F6B73">
        <w:rPr>
          <w:rFonts w:ascii="Tw Cen MT" w:eastAsia="Tw Cen MT" w:hAnsi="Tw Cen MT" w:cs="Tw Cen MT"/>
        </w:rPr>
        <w:t xml:space="preserve">mastery </w:t>
      </w:r>
      <w:r w:rsidRPr="005F6B73">
        <w:rPr>
          <w:rFonts w:ascii="Tw Cen MT" w:eastAsia="Tw Cen MT" w:hAnsi="Tw Cen MT" w:cs="Tw Cen MT"/>
        </w:rPr>
        <w:t>curriculum is designed to allow all pupils to become arithmetically fluent, reason mathematically and solve problems. Though careful sequ</w:t>
      </w:r>
      <w:r w:rsidRPr="005F6B73">
        <w:rPr>
          <w:rFonts w:ascii="Tw Cen MT" w:eastAsia="Tw Cen MT" w:hAnsi="Tw Cen MT" w:cs="Tw Cen MT"/>
        </w:rPr>
        <w:t>encing of learning, pupils will</w:t>
      </w:r>
      <w:r w:rsidRPr="005F6B73">
        <w:rPr>
          <w:rFonts w:ascii="Tw Cen MT" w:eastAsia="Tw Cen MT" w:hAnsi="Tw Cen MT" w:cs="Tw Cen MT"/>
        </w:rPr>
        <w:t xml:space="preserve"> ‘make rich connections across mathematical ideas to develop fluency, mathematical reasoning and competence in solving increasingly sophisticated problems.’ (NCTEM)</w:t>
      </w:r>
    </w:p>
    <w:p w14:paraId="7030134D" w14:textId="77777777" w:rsidR="007A157F" w:rsidRPr="005F6B73" w:rsidRDefault="007A157F" w:rsidP="007A157F">
      <w:pPr>
        <w:spacing w:after="0" w:line="257" w:lineRule="auto"/>
        <w:ind w:left="-5" w:hanging="10"/>
        <w:rPr>
          <w:rFonts w:ascii="Tw Cen MT" w:eastAsia="Tw Cen MT" w:hAnsi="Tw Cen MT" w:cs="Tw Cen MT"/>
        </w:rPr>
      </w:pPr>
    </w:p>
    <w:p w14:paraId="794D4621" w14:textId="707A7485" w:rsidR="007A157F" w:rsidRPr="005F6B73" w:rsidRDefault="007A157F" w:rsidP="007A157F">
      <w:pPr>
        <w:spacing w:after="0" w:line="257" w:lineRule="auto"/>
        <w:ind w:left="-5" w:hanging="10"/>
        <w:rPr>
          <w:rFonts w:ascii="Tw Cen MT" w:eastAsia="Tw Cen MT" w:hAnsi="Tw Cen MT" w:cs="Tw Cen MT"/>
        </w:rPr>
      </w:pPr>
      <w:r w:rsidRPr="005F6B73">
        <w:rPr>
          <w:rFonts w:ascii="Tw Cen MT" w:eastAsia="Tw Cen MT" w:hAnsi="Tw Cen MT" w:cs="Tw Cen MT"/>
        </w:rPr>
        <w:t>All</w:t>
      </w:r>
      <w:r w:rsidRPr="005F6B73">
        <w:rPr>
          <w:rFonts w:ascii="Tw Cen MT" w:eastAsia="Tw Cen MT" w:hAnsi="Tw Cen MT" w:cs="Tw Cen MT"/>
        </w:rPr>
        <w:t xml:space="preserve"> our learners are mathematicians, and we recognise that mathematical l</w:t>
      </w:r>
      <w:r w:rsidRPr="005F6B73">
        <w:rPr>
          <w:rFonts w:ascii="Tw Cen MT" w:eastAsia="Tw Cen MT" w:hAnsi="Tw Cen MT" w:cs="Tw Cen MT"/>
        </w:rPr>
        <w:t>anguage is a structure for understanding.</w:t>
      </w:r>
      <w:r w:rsidRPr="005F6B73">
        <w:rPr>
          <w:rFonts w:ascii="Tw Cen MT" w:eastAsia="Tw Cen MT" w:hAnsi="Tw Cen MT" w:cs="Tw Cen MT"/>
        </w:rPr>
        <w:t xml:space="preserve"> Vocabulary and oracy are therefore fundamental to our delivery of mathematics. </w:t>
      </w:r>
      <w:r w:rsidRPr="005F6B73">
        <w:rPr>
          <w:rFonts w:ascii="Tw Cen MT" w:eastAsia="Tw Cen MT" w:hAnsi="Tw Cen MT" w:cs="Tw Cen MT"/>
        </w:rPr>
        <w:t xml:space="preserve">We develop </w:t>
      </w:r>
      <w:r w:rsidRPr="005F6B73">
        <w:rPr>
          <w:rFonts w:ascii="Tw Cen MT" w:eastAsia="Tw Cen MT" w:hAnsi="Tw Cen MT" w:cs="Tw Cen MT"/>
        </w:rPr>
        <w:t>learners’</w:t>
      </w:r>
      <w:r w:rsidRPr="005F6B73">
        <w:rPr>
          <w:rFonts w:ascii="Tw Cen MT" w:eastAsia="Tw Cen MT" w:hAnsi="Tw Cen MT" w:cs="Tw Cen MT"/>
        </w:rPr>
        <w:t xml:space="preserve"> ability to be fluent in mathematical facts</w:t>
      </w:r>
      <w:r w:rsidRPr="005F6B73">
        <w:rPr>
          <w:rFonts w:ascii="Tw Cen MT" w:eastAsia="Tw Cen MT" w:hAnsi="Tw Cen MT" w:cs="Tw Cen MT"/>
        </w:rPr>
        <w:t>. By offering these secure mathematical foundations, we will provide prolific opportunities for learners to</w:t>
      </w:r>
      <w:r w:rsidRPr="005F6B73">
        <w:rPr>
          <w:rFonts w:ascii="Tw Cen MT" w:eastAsia="Tw Cen MT" w:hAnsi="Tw Cen MT" w:cs="Tw Cen MT"/>
        </w:rPr>
        <w:t xml:space="preserve"> reason and to solve problems through mathematical talk, concrete resources and small steps that build upon prior learning. Our children are encouraged to recognise, understand and appreciate relationships and patterns in numbers</w:t>
      </w:r>
      <w:r w:rsidRPr="005F6B73">
        <w:rPr>
          <w:rFonts w:ascii="Tw Cen MT" w:eastAsia="Tw Cen MT" w:hAnsi="Tw Cen MT" w:cs="Tw Cen MT"/>
        </w:rPr>
        <w:t xml:space="preserve"> in the world around them.</w:t>
      </w:r>
    </w:p>
    <w:p w14:paraId="0904F498" w14:textId="77777777" w:rsidR="007A157F" w:rsidRPr="005F6B73" w:rsidRDefault="007A157F" w:rsidP="007A157F">
      <w:pPr>
        <w:spacing w:after="0" w:line="257" w:lineRule="auto"/>
        <w:ind w:left="-5" w:hanging="10"/>
        <w:rPr>
          <w:rFonts w:ascii="Tw Cen MT" w:eastAsia="Tw Cen MT" w:hAnsi="Tw Cen MT" w:cs="Tw Cen MT"/>
        </w:rPr>
      </w:pPr>
    </w:p>
    <w:p w14:paraId="0CC7A9F0" w14:textId="6AC90C25" w:rsidR="007A157F" w:rsidRPr="005F6B73" w:rsidRDefault="007A157F" w:rsidP="007A157F">
      <w:pPr>
        <w:spacing w:after="0" w:line="257" w:lineRule="auto"/>
        <w:ind w:left="-15"/>
        <w:rPr>
          <w:rFonts w:ascii="Tw Cen MT" w:eastAsia="Tw Cen MT" w:hAnsi="Tw Cen MT" w:cs="Tw Cen MT"/>
        </w:rPr>
      </w:pPr>
      <w:r w:rsidRPr="005F6B73">
        <w:rPr>
          <w:rFonts w:ascii="Tw Cen MT" w:eastAsia="Tw Cen MT" w:hAnsi="Tw Cen MT" w:cs="Tw Cen MT"/>
        </w:rPr>
        <w:t xml:space="preserve">Our progression follows the National Curriculum and has been </w:t>
      </w:r>
      <w:r w:rsidRPr="005F6B73">
        <w:rPr>
          <w:rFonts w:ascii="Tw Cen MT" w:eastAsia="Tw Cen MT" w:hAnsi="Tw Cen MT" w:cs="Tw Cen MT"/>
        </w:rPr>
        <w:t>designed to ensure that every child understands that maths is a significant life skill</w:t>
      </w:r>
      <w:r w:rsidRPr="005F6B73">
        <w:rPr>
          <w:rFonts w:ascii="Tw Cen MT" w:eastAsia="Tw Cen MT" w:hAnsi="Tw Cen MT" w:cs="Tw Cen MT"/>
        </w:rPr>
        <w:t>, empowering learners t</w:t>
      </w:r>
      <w:r w:rsidRPr="005F6B73">
        <w:rPr>
          <w:rFonts w:ascii="Tw Cen MT" w:eastAsia="Tw Cen MT" w:hAnsi="Tw Cen MT" w:cs="Tw Cen MT"/>
        </w:rPr>
        <w:t>o make sense of the world around them</w:t>
      </w:r>
      <w:r w:rsidRPr="005F6B73">
        <w:rPr>
          <w:rFonts w:ascii="Tw Cen MT" w:eastAsia="Tw Cen MT" w:hAnsi="Tw Cen MT" w:cs="Tw Cen MT"/>
        </w:rPr>
        <w:t xml:space="preserve">. </w:t>
      </w:r>
      <w:r w:rsidRPr="005F6B73">
        <w:rPr>
          <w:rFonts w:ascii="Tw Cen MT" w:eastAsia="Tw Cen MT" w:hAnsi="Tw Cen MT" w:cs="Tw Cen MT"/>
        </w:rPr>
        <w:t>We provide our mathematicians with a variety of mathematical opportunities and appropriate challenge, which will enable them to make the connections needed to enjoy greater depth in learning. Through a mastery approach, we support learners with age-appropriate</w:t>
      </w:r>
      <w:r w:rsidRPr="005F6B73">
        <w:rPr>
          <w:rFonts w:ascii="Tw Cen MT" w:eastAsia="Tw Cen MT" w:hAnsi="Tw Cen MT" w:cs="Tw Cen MT"/>
        </w:rPr>
        <w:t xml:space="preserve"> material through targeted scaffolding and opportunities to challenge and explain reasoning in greater depth.</w:t>
      </w:r>
      <w:r w:rsidR="005F6B73" w:rsidRPr="005F6B73">
        <w:rPr>
          <w:rFonts w:ascii="Tw Cen MT" w:eastAsia="Tw Cen MT" w:hAnsi="Tw Cen MT" w:cs="Tw Cen MT"/>
        </w:rPr>
        <w:t xml:space="preserve"> </w:t>
      </w:r>
      <w:r w:rsidR="005F6B73" w:rsidRPr="005F6B73">
        <w:rPr>
          <w:rFonts w:ascii="Tw Cen MT" w:eastAsia="Tw Cen MT" w:hAnsi="Tw Cen MT" w:cs="Tw Cen MT"/>
        </w:rPr>
        <w:t>Mistakes are magnificent</w:t>
      </w:r>
      <w:r w:rsidR="005F6B73" w:rsidRPr="005F6B73">
        <w:rPr>
          <w:rFonts w:ascii="Tw Cen MT" w:eastAsia="Tw Cen MT" w:hAnsi="Tw Cen MT" w:cs="Tw Cen MT"/>
        </w:rPr>
        <w:t>, central to the beauty of mathematics,</w:t>
      </w:r>
      <w:r w:rsidR="005F6B73" w:rsidRPr="005F6B73">
        <w:rPr>
          <w:rFonts w:ascii="Tw Cen MT" w:eastAsia="Tw Cen MT" w:hAnsi="Tw Cen MT" w:cs="Tw Cen MT"/>
        </w:rPr>
        <w:t xml:space="preserve"> and </w:t>
      </w:r>
      <w:r w:rsidR="005F6B73" w:rsidRPr="005F6B73">
        <w:rPr>
          <w:rFonts w:ascii="Tw Cen MT" w:eastAsia="Tw Cen MT" w:hAnsi="Tw Cen MT" w:cs="Tw Cen MT"/>
        </w:rPr>
        <w:t xml:space="preserve">so </w:t>
      </w:r>
      <w:r w:rsidR="005F6B73" w:rsidRPr="005F6B73">
        <w:rPr>
          <w:rFonts w:ascii="Tw Cen MT" w:eastAsia="Tw Cen MT" w:hAnsi="Tw Cen MT" w:cs="Tw Cen MT"/>
        </w:rPr>
        <w:t>are fundamental to our teaching and mantra of having a go</w:t>
      </w:r>
      <w:r w:rsidR="005F6B73" w:rsidRPr="005F6B73">
        <w:rPr>
          <w:rFonts w:ascii="Tw Cen MT" w:eastAsia="Tw Cen MT" w:hAnsi="Tw Cen MT" w:cs="Tw Cen MT"/>
        </w:rPr>
        <w:t>, supporting our learners’ mental health and resilience</w:t>
      </w:r>
      <w:r w:rsidR="005F6B73" w:rsidRPr="005F6B73">
        <w:rPr>
          <w:rFonts w:ascii="Tw Cen MT" w:eastAsia="Tw Cen MT" w:hAnsi="Tw Cen MT" w:cs="Tw Cen MT"/>
        </w:rPr>
        <w:t>.</w:t>
      </w:r>
    </w:p>
    <w:p w14:paraId="4D75610E" w14:textId="2B19468E" w:rsidR="005F6B73" w:rsidRPr="005F6B73" w:rsidRDefault="005F6B73" w:rsidP="007A157F">
      <w:pPr>
        <w:spacing w:after="0" w:line="257" w:lineRule="auto"/>
        <w:ind w:left="-5" w:hanging="10"/>
        <w:rPr>
          <w:rFonts w:ascii="Tw Cen MT" w:eastAsia="Tw Cen MT" w:hAnsi="Tw Cen MT" w:cs="Tw Cen MT"/>
        </w:rPr>
      </w:pPr>
    </w:p>
    <w:p w14:paraId="39FCC9C0" w14:textId="5857B4F9" w:rsidR="007A157F" w:rsidRPr="007A157F" w:rsidRDefault="007A157F" w:rsidP="007A157F">
      <w:pPr>
        <w:spacing w:after="0" w:line="257" w:lineRule="auto"/>
        <w:ind w:left="-5" w:hanging="10"/>
        <w:rPr>
          <w:rFonts w:ascii="Tw Cen MT" w:eastAsia="Tw Cen MT" w:hAnsi="Tw Cen MT" w:cs="Tw Cen MT"/>
        </w:rPr>
      </w:pPr>
      <w:r w:rsidRPr="007A157F">
        <w:rPr>
          <w:rFonts w:ascii="Tw Cen MT" w:eastAsia="Tw Cen MT" w:hAnsi="Tw Cen MT" w:cs="Tw Cen MT"/>
        </w:rPr>
        <w:t xml:space="preserve">Our approach to the teaching of </w:t>
      </w:r>
      <w:r w:rsidRPr="005F6B73">
        <w:rPr>
          <w:rFonts w:ascii="Tw Cen MT" w:eastAsia="Tw Cen MT" w:hAnsi="Tw Cen MT" w:cs="Tw Cen MT"/>
        </w:rPr>
        <w:t>mathematics</w:t>
      </w:r>
      <w:r w:rsidRPr="007A157F">
        <w:rPr>
          <w:rFonts w:ascii="Tw Cen MT" w:eastAsia="Tw Cen MT" w:hAnsi="Tw Cen MT" w:cs="Tw Cen MT"/>
        </w:rPr>
        <w:t xml:space="preserve"> reflects our school culture,</w:t>
      </w:r>
      <w:r w:rsidRPr="005F6B73">
        <w:rPr>
          <w:rFonts w:ascii="Tw Cen MT" w:eastAsia="Tw Cen MT" w:hAnsi="Tw Cen MT" w:cs="Tw Cen MT"/>
        </w:rPr>
        <w:t xml:space="preserve"> one of metacognition and self-</w:t>
      </w:r>
      <w:r w:rsidRPr="007A157F">
        <w:rPr>
          <w:rFonts w:ascii="Tw Cen MT" w:eastAsia="Tw Cen MT" w:hAnsi="Tw Cen MT" w:cs="Tw Cen MT"/>
        </w:rPr>
        <w:t xml:space="preserve">regulation.  We equip children with the tools to: activate their prior knowledge, plan, monitor and evaluate.  </w:t>
      </w:r>
      <w:r w:rsidRPr="005F6B73">
        <w:rPr>
          <w:rFonts w:ascii="Tw Cen MT" w:eastAsia="Tw Cen MT" w:hAnsi="Tw Cen MT" w:cs="Tw Cen MT"/>
        </w:rPr>
        <w:t>Success in mathematics comes from taking risks and being courageous, qualities we aim to foster in our children. Our learners</w:t>
      </w:r>
      <w:r w:rsidRPr="007A157F">
        <w:rPr>
          <w:rFonts w:ascii="Tw Cen MT" w:eastAsia="Tw Cen MT" w:hAnsi="Tw Cen MT" w:cs="Tw Cen MT"/>
        </w:rPr>
        <w:t xml:space="preserve"> reflect on their own work and th</w:t>
      </w:r>
      <w:r w:rsidRPr="005F6B73">
        <w:rPr>
          <w:rFonts w:ascii="Tw Cen MT" w:eastAsia="Tw Cen MT" w:hAnsi="Tw Cen MT" w:cs="Tw Cen MT"/>
        </w:rPr>
        <w:t>e work of others so that we are…</w:t>
      </w:r>
      <w:r w:rsidRPr="007A157F">
        <w:rPr>
          <w:rFonts w:ascii="Tw Cen MT" w:eastAsia="Tw Cen MT" w:hAnsi="Tw Cen MT" w:cs="Tw Cen MT"/>
        </w:rPr>
        <w:t xml:space="preserve"> </w:t>
      </w:r>
    </w:p>
    <w:p w14:paraId="4B516BEA" w14:textId="77777777" w:rsidR="007A157F" w:rsidRPr="005F6B73" w:rsidRDefault="007A157F" w:rsidP="007A157F">
      <w:pPr>
        <w:spacing w:after="0"/>
        <w:rPr>
          <w:rFonts w:ascii="Tw Cen MT" w:eastAsia="Tw Cen MT" w:hAnsi="Tw Cen MT" w:cs="Tw Cen MT"/>
        </w:rPr>
      </w:pPr>
    </w:p>
    <w:p w14:paraId="46FA182C" w14:textId="4D86E6CF" w:rsidR="007A157F" w:rsidRPr="007A157F" w:rsidRDefault="007A157F" w:rsidP="007A157F">
      <w:pPr>
        <w:spacing w:after="0"/>
        <w:rPr>
          <w:rFonts w:ascii="Tw Cen MT" w:eastAsia="Tw Cen MT" w:hAnsi="Tw Cen MT" w:cs="Tw Cen MT"/>
        </w:rPr>
      </w:pPr>
      <w:r w:rsidRPr="007A157F">
        <w:rPr>
          <w:rFonts w:ascii="Tw Cen MT" w:eastAsia="Tw Cen MT" w:hAnsi="Tw Cen MT" w:cs="Tw Cen MT"/>
          <w:b/>
          <w:color w:val="111111"/>
          <w:sz w:val="36"/>
        </w:rPr>
        <w:t xml:space="preserve">Being the best we can be together!  </w:t>
      </w:r>
    </w:p>
    <w:p w14:paraId="2E0DA819" w14:textId="2EA6F517" w:rsidR="007A157F" w:rsidRPr="005F6B73" w:rsidRDefault="007A157F" w:rsidP="007A157F">
      <w:pPr>
        <w:spacing w:after="0"/>
        <w:rPr>
          <w:rFonts w:ascii="Tw Cen MT" w:hAnsi="Tw Cen MT"/>
        </w:rPr>
      </w:pPr>
      <w:r w:rsidRPr="005F6B73">
        <w:rPr>
          <w:rFonts w:ascii="Tw Cen MT" w:eastAsia="Tw Cen MT" w:hAnsi="Tw Cen MT" w:cs="Tw Cen MT"/>
        </w:rPr>
        <w:t>(</w:t>
      </w:r>
      <w:r w:rsidRPr="005F6B73">
        <w:rPr>
          <w:rFonts w:ascii="Tw Cen MT" w:eastAsia="Tw Cen MT" w:hAnsi="Tw Cen MT" w:cs="Tw Cen MT"/>
        </w:rPr>
        <w:t>Our Mission Statement</w:t>
      </w:r>
      <w:r w:rsidRPr="005F6B73">
        <w:rPr>
          <w:rFonts w:ascii="Tw Cen MT" w:eastAsia="Tw Cen MT" w:hAnsi="Tw Cen MT" w:cs="Tw Cen MT"/>
        </w:rPr>
        <w:t>)</w:t>
      </w:r>
    </w:p>
    <w:p w14:paraId="0CC4FD97" w14:textId="77777777" w:rsidR="005F6B73" w:rsidRPr="005F6B73" w:rsidRDefault="005F6B73">
      <w:pPr>
        <w:rPr>
          <w:rFonts w:ascii="Tw Cen MT" w:hAnsi="Tw Cen MT"/>
        </w:rPr>
      </w:pPr>
      <w:r w:rsidRPr="005F6B73">
        <w:rPr>
          <w:rFonts w:ascii="Tw Cen MT" w:hAnsi="Tw Cen MT"/>
        </w:rPr>
        <w:br w:type="page"/>
      </w:r>
    </w:p>
    <w:tbl>
      <w:tblPr>
        <w:tblStyle w:val="TableGrid0"/>
        <w:tblW w:w="0" w:type="auto"/>
        <w:tblLook w:val="04A0" w:firstRow="1" w:lastRow="0" w:firstColumn="1" w:lastColumn="0" w:noHBand="0" w:noVBand="1"/>
      </w:tblPr>
      <w:tblGrid>
        <w:gridCol w:w="15388"/>
      </w:tblGrid>
      <w:tr w:rsidR="005F6B73" w:rsidRPr="005F6B73" w14:paraId="67A0B064" w14:textId="77777777" w:rsidTr="005F6B73">
        <w:tc>
          <w:tcPr>
            <w:tcW w:w="15388" w:type="dxa"/>
            <w:shd w:val="clear" w:color="auto" w:fill="2E74B5" w:themeFill="accent1" w:themeFillShade="BF"/>
          </w:tcPr>
          <w:p w14:paraId="3C356641" w14:textId="4DF3DDB4" w:rsidR="005F6B73" w:rsidRPr="005F6B73" w:rsidRDefault="005F6B73" w:rsidP="005F6B73">
            <w:pPr>
              <w:tabs>
                <w:tab w:val="left" w:pos="840"/>
              </w:tabs>
              <w:rPr>
                <w:rFonts w:ascii="Tw Cen MT" w:hAnsi="Tw Cen MT"/>
                <w:b/>
              </w:rPr>
            </w:pPr>
            <w:r w:rsidRPr="005F6B73">
              <w:rPr>
                <w:rFonts w:ascii="Tw Cen MT" w:hAnsi="Tw Cen MT"/>
                <w:b/>
                <w:sz w:val="32"/>
              </w:rPr>
              <w:lastRenderedPageBreak/>
              <w:t>Gotham Primary School mathematics: INTENT</w:t>
            </w:r>
          </w:p>
        </w:tc>
      </w:tr>
    </w:tbl>
    <w:p w14:paraId="5B258091" w14:textId="6D4EC09B" w:rsidR="007A157F" w:rsidRDefault="007A157F" w:rsidP="005F6B73">
      <w:pPr>
        <w:tabs>
          <w:tab w:val="left" w:pos="840"/>
        </w:tabs>
        <w:spacing w:after="0"/>
        <w:rPr>
          <w:rFonts w:ascii="Tw Cen MT" w:hAnsi="Tw Cen MT"/>
        </w:rPr>
      </w:pPr>
    </w:p>
    <w:p w14:paraId="013FE409" w14:textId="6FD11E7E" w:rsidR="00706FF9" w:rsidRDefault="00706FF9" w:rsidP="005F6B73">
      <w:pPr>
        <w:tabs>
          <w:tab w:val="left" w:pos="840"/>
        </w:tabs>
        <w:spacing w:after="0"/>
        <w:rPr>
          <w:rFonts w:ascii="Tw Cen MT" w:eastAsia="Tw Cen MT" w:hAnsi="Tw Cen MT" w:cs="Tw Cen MT"/>
        </w:rPr>
      </w:pPr>
      <w:r w:rsidRPr="007A157F">
        <w:rPr>
          <w:rFonts w:ascii="Tw Cen MT" w:eastAsia="Tw Cen MT" w:hAnsi="Tw Cen MT" w:cs="Tw Cen MT"/>
        </w:rPr>
        <w:t xml:space="preserve">At Gotham Primary </w:t>
      </w:r>
      <w:r w:rsidRPr="005F6B73">
        <w:rPr>
          <w:rFonts w:ascii="Tw Cen MT" w:eastAsia="Tw Cen MT" w:hAnsi="Tw Cen MT" w:cs="Tw Cen MT"/>
        </w:rPr>
        <w:t>School,</w:t>
      </w:r>
      <w:r>
        <w:rPr>
          <w:rFonts w:ascii="Tw Cen MT" w:eastAsia="Tw Cen MT" w:hAnsi="Tw Cen MT" w:cs="Tw Cen MT"/>
        </w:rPr>
        <w:t xml:space="preserve"> we ensure that our teaching and learning is grounded in the National Curriculum and is delivered using the mastery approach. </w:t>
      </w:r>
    </w:p>
    <w:p w14:paraId="448BBC91" w14:textId="77777777" w:rsidR="00706FF9" w:rsidRDefault="00706FF9" w:rsidP="005F6B73">
      <w:pPr>
        <w:tabs>
          <w:tab w:val="left" w:pos="840"/>
        </w:tabs>
        <w:spacing w:after="0"/>
        <w:rPr>
          <w:rFonts w:ascii="Tw Cen MT" w:eastAsia="Tw Cen MT" w:hAnsi="Tw Cen MT" w:cs="Tw Cen MT"/>
        </w:rPr>
      </w:pPr>
    </w:p>
    <w:p w14:paraId="4958F10A" w14:textId="01EF5545" w:rsidR="00706FF9" w:rsidRDefault="00706FF9" w:rsidP="005F6B73">
      <w:pPr>
        <w:tabs>
          <w:tab w:val="left" w:pos="840"/>
        </w:tabs>
        <w:spacing w:after="0"/>
        <w:rPr>
          <w:rFonts w:ascii="Tw Cen MT" w:eastAsia="Tw Cen MT" w:hAnsi="Tw Cen MT" w:cs="Tw Cen MT"/>
        </w:rPr>
      </w:pPr>
      <w:r>
        <w:rPr>
          <w:rFonts w:ascii="Tw Cen MT" w:eastAsia="Tw Cen MT" w:hAnsi="Tw Cen MT" w:cs="Tw Cen MT"/>
        </w:rPr>
        <w:t>To achieve this successfully, we follow the White Rose maths progression and sequencing throughout our curriculum, and supplement this with bespoke fluency or curriculum support indicated by rigorous assessment strategies. Our detailed progression of learning can be found on our school website.</w:t>
      </w:r>
    </w:p>
    <w:p w14:paraId="55A6EFD0" w14:textId="004ADDCE" w:rsidR="00706FF9" w:rsidRDefault="00706FF9" w:rsidP="005F6B73">
      <w:pPr>
        <w:tabs>
          <w:tab w:val="left" w:pos="840"/>
        </w:tabs>
        <w:spacing w:after="0"/>
        <w:rPr>
          <w:rFonts w:ascii="Tw Cen MT" w:eastAsia="Tw Cen MT" w:hAnsi="Tw Cen MT" w:cs="Tw Cen MT"/>
        </w:rPr>
      </w:pPr>
    </w:p>
    <w:tbl>
      <w:tblPr>
        <w:tblStyle w:val="TableGrid0"/>
        <w:tblW w:w="0" w:type="auto"/>
        <w:tblLook w:val="04A0" w:firstRow="1" w:lastRow="0" w:firstColumn="1" w:lastColumn="0" w:noHBand="0" w:noVBand="1"/>
      </w:tblPr>
      <w:tblGrid>
        <w:gridCol w:w="15388"/>
      </w:tblGrid>
      <w:tr w:rsidR="00706FF9" w:rsidRPr="005F6B73" w14:paraId="0B7281A0" w14:textId="77777777" w:rsidTr="00E2434B">
        <w:tc>
          <w:tcPr>
            <w:tcW w:w="15388" w:type="dxa"/>
            <w:shd w:val="clear" w:color="auto" w:fill="2E74B5" w:themeFill="accent1" w:themeFillShade="BF"/>
          </w:tcPr>
          <w:p w14:paraId="4A67CEBA" w14:textId="455564EE" w:rsidR="00706FF9" w:rsidRPr="005F6B73" w:rsidRDefault="00706FF9" w:rsidP="00706FF9">
            <w:pPr>
              <w:tabs>
                <w:tab w:val="left" w:pos="840"/>
              </w:tabs>
              <w:rPr>
                <w:rFonts w:ascii="Tw Cen MT" w:hAnsi="Tw Cen MT"/>
                <w:b/>
              </w:rPr>
            </w:pPr>
            <w:r w:rsidRPr="005F6B73">
              <w:rPr>
                <w:rFonts w:ascii="Tw Cen MT" w:hAnsi="Tw Cen MT"/>
                <w:b/>
                <w:sz w:val="32"/>
              </w:rPr>
              <w:t xml:space="preserve">Gotham Primary School mathematics: </w:t>
            </w:r>
            <w:r>
              <w:rPr>
                <w:rFonts w:ascii="Tw Cen MT" w:hAnsi="Tw Cen MT"/>
                <w:b/>
                <w:sz w:val="32"/>
              </w:rPr>
              <w:t>IMPLEMENTATION</w:t>
            </w:r>
          </w:p>
        </w:tc>
      </w:tr>
    </w:tbl>
    <w:p w14:paraId="532BC6C8" w14:textId="77777777" w:rsidR="00706FF9" w:rsidRDefault="00706FF9" w:rsidP="005F6B73">
      <w:pPr>
        <w:tabs>
          <w:tab w:val="left" w:pos="840"/>
        </w:tabs>
        <w:spacing w:after="0"/>
        <w:rPr>
          <w:rFonts w:ascii="Tw Cen MT" w:eastAsia="Tw Cen MT" w:hAnsi="Tw Cen MT" w:cs="Tw Cen MT"/>
        </w:rPr>
      </w:pPr>
    </w:p>
    <w:p w14:paraId="27D736C6" w14:textId="2BF6CB30" w:rsidR="00706FF9" w:rsidRDefault="00706FF9" w:rsidP="00706FF9">
      <w:pPr>
        <w:tabs>
          <w:tab w:val="left" w:pos="840"/>
          <w:tab w:val="left" w:pos="8080"/>
        </w:tabs>
        <w:spacing w:after="0"/>
        <w:rPr>
          <w:rFonts w:ascii="Tw Cen MT" w:hAnsi="Tw Cen MT"/>
        </w:rPr>
      </w:pPr>
      <w:r w:rsidRPr="00706FF9">
        <w:rPr>
          <w:rFonts w:ascii="Tw Cen MT" w:hAnsi="Tw Cen MT"/>
        </w:rPr>
        <w:t xml:space="preserve">Lessons are planned and sequenced </w:t>
      </w:r>
      <w:r w:rsidR="00AA13E6">
        <w:rPr>
          <w:rFonts w:ascii="Tw Cen MT" w:hAnsi="Tw Cen MT"/>
        </w:rPr>
        <w:t>carefully</w:t>
      </w:r>
      <w:r>
        <w:rPr>
          <w:rFonts w:ascii="Tw Cen MT" w:hAnsi="Tw Cen MT"/>
        </w:rPr>
        <w:t xml:space="preserve">, with the support of White Rose and our knowledge of the children’s individual </w:t>
      </w:r>
      <w:r w:rsidR="00AA13E6">
        <w:rPr>
          <w:rFonts w:ascii="Tw Cen MT" w:hAnsi="Tw Cen MT"/>
        </w:rPr>
        <w:t>progress</w:t>
      </w:r>
      <w:r w:rsidRPr="00706FF9">
        <w:rPr>
          <w:rFonts w:ascii="Tw Cen MT" w:hAnsi="Tw Cen MT"/>
        </w:rPr>
        <w:t>.  The lesson sequence ensures that new knowledge and skills build on what has been taught previously.</w:t>
      </w:r>
      <w:r>
        <w:rPr>
          <w:rFonts w:ascii="Tw Cen MT" w:hAnsi="Tw Cen MT"/>
        </w:rPr>
        <w:t xml:space="preserve"> Our teaching will address the needs of the children</w:t>
      </w:r>
      <w:r w:rsidR="00AA13E6">
        <w:rPr>
          <w:rFonts w:ascii="Tw Cen MT" w:hAnsi="Tw Cen MT"/>
        </w:rPr>
        <w:t xml:space="preserve"> and</w:t>
      </w:r>
      <w:r>
        <w:rPr>
          <w:rFonts w:ascii="Tw Cen MT" w:hAnsi="Tw Cen MT"/>
        </w:rPr>
        <w:t xml:space="preserve"> regular assessment for learning informs our next steps. Our small</w:t>
      </w:r>
      <w:r w:rsidR="00AA13E6">
        <w:rPr>
          <w:rFonts w:ascii="Tw Cen MT" w:hAnsi="Tw Cen MT"/>
        </w:rPr>
        <w:t>-</w:t>
      </w:r>
      <w:r>
        <w:rPr>
          <w:rFonts w:ascii="Tw Cen MT" w:hAnsi="Tw Cen MT"/>
        </w:rPr>
        <w:t>step</w:t>
      </w:r>
      <w:r w:rsidR="00AA13E6">
        <w:rPr>
          <w:rFonts w:ascii="Tw Cen MT" w:hAnsi="Tw Cen MT"/>
        </w:rPr>
        <w:t xml:space="preserve"> mastery</w:t>
      </w:r>
      <w:r>
        <w:rPr>
          <w:rFonts w:ascii="Tw Cen MT" w:hAnsi="Tw Cen MT"/>
        </w:rPr>
        <w:t xml:space="preserve"> approach will enable us to include all learners and pre-empt misconceptions; gaps revealed by assessment </w:t>
      </w:r>
      <w:r w:rsidR="00AA13E6">
        <w:rPr>
          <w:rFonts w:ascii="Tw Cen MT" w:hAnsi="Tw Cen MT"/>
        </w:rPr>
        <w:t>are</w:t>
      </w:r>
      <w:r>
        <w:rPr>
          <w:rFonts w:ascii="Tw Cen MT" w:hAnsi="Tw Cen MT"/>
        </w:rPr>
        <w:t xml:space="preserve"> addressed through regular retrieval practice and intervention where necessary.</w:t>
      </w:r>
    </w:p>
    <w:p w14:paraId="7AD52720" w14:textId="5A23BB59" w:rsidR="00706FF9" w:rsidRPr="00706FF9" w:rsidRDefault="00706FF9" w:rsidP="00706FF9">
      <w:pPr>
        <w:tabs>
          <w:tab w:val="left" w:pos="840"/>
          <w:tab w:val="left" w:pos="8080"/>
        </w:tabs>
        <w:spacing w:after="0"/>
        <w:rPr>
          <w:rFonts w:ascii="Tw Cen MT" w:hAnsi="Tw Cen MT"/>
        </w:rPr>
      </w:pPr>
      <w:r w:rsidRPr="00706FF9">
        <w:rPr>
          <w:rFonts w:ascii="Tw Cen MT" w:hAnsi="Tw Cen MT"/>
        </w:rPr>
        <w:t xml:space="preserve">   </w:t>
      </w:r>
    </w:p>
    <w:p w14:paraId="2EFF59A0" w14:textId="0A1C064D" w:rsidR="00706FF9" w:rsidRDefault="00706FF9" w:rsidP="00706FF9">
      <w:pPr>
        <w:tabs>
          <w:tab w:val="left" w:pos="840"/>
        </w:tabs>
        <w:spacing w:after="0"/>
        <w:rPr>
          <w:rFonts w:ascii="Tw Cen MT" w:hAnsi="Tw Cen MT"/>
        </w:rPr>
      </w:pPr>
      <w:r w:rsidRPr="00706FF9">
        <w:rPr>
          <w:rFonts w:ascii="Tw Cen MT" w:hAnsi="Tw Cen MT"/>
        </w:rPr>
        <w:t xml:space="preserve">Staff refer to </w:t>
      </w:r>
      <w:r>
        <w:rPr>
          <w:rFonts w:ascii="Tw Cen MT" w:hAnsi="Tw Cen MT"/>
        </w:rPr>
        <w:t>our</w:t>
      </w:r>
      <w:r w:rsidRPr="00706FF9">
        <w:rPr>
          <w:rFonts w:ascii="Tw Cen MT" w:hAnsi="Tw Cen MT"/>
        </w:rPr>
        <w:t xml:space="preserve"> White Rose Calculation Policy when teaching formal methods</w:t>
      </w:r>
      <w:r>
        <w:rPr>
          <w:rFonts w:ascii="Tw Cen MT" w:hAnsi="Tw Cen MT"/>
        </w:rPr>
        <w:t>, ensuring</w:t>
      </w:r>
      <w:r w:rsidRPr="00706FF9">
        <w:rPr>
          <w:rFonts w:ascii="Tw Cen MT" w:hAnsi="Tw Cen MT"/>
        </w:rPr>
        <w:t xml:space="preserve"> a consistent</w:t>
      </w:r>
      <w:r>
        <w:rPr>
          <w:rFonts w:ascii="Tw Cen MT" w:hAnsi="Tw Cen MT"/>
        </w:rPr>
        <w:t>,</w:t>
      </w:r>
      <w:r w:rsidRPr="00706FF9">
        <w:rPr>
          <w:rFonts w:ascii="Tw Cen MT" w:hAnsi="Tw Cen MT"/>
        </w:rPr>
        <w:t xml:space="preserve"> whole</w:t>
      </w:r>
      <w:r>
        <w:rPr>
          <w:rFonts w:ascii="Tw Cen MT" w:hAnsi="Tw Cen MT"/>
        </w:rPr>
        <w:t>-</w:t>
      </w:r>
      <w:r w:rsidRPr="00706FF9">
        <w:rPr>
          <w:rFonts w:ascii="Tw Cen MT" w:hAnsi="Tw Cen MT"/>
        </w:rPr>
        <w:t xml:space="preserve">school approach. </w:t>
      </w:r>
      <w:r>
        <w:rPr>
          <w:rFonts w:ascii="Tw Cen MT" w:hAnsi="Tw Cen MT"/>
        </w:rPr>
        <w:t xml:space="preserve">Through </w:t>
      </w:r>
      <w:r w:rsidR="00AA13E6">
        <w:rPr>
          <w:rFonts w:ascii="Tw Cen MT" w:hAnsi="Tw Cen MT"/>
        </w:rPr>
        <w:t>clear modelling and practice,</w:t>
      </w:r>
      <w:r>
        <w:rPr>
          <w:rFonts w:ascii="Tw Cen MT" w:hAnsi="Tw Cen MT"/>
        </w:rPr>
        <w:t xml:space="preserve"> children will have the most efficient methods available to them in order to problem-solve effectively.</w:t>
      </w:r>
    </w:p>
    <w:p w14:paraId="5E4AF687" w14:textId="445C9650" w:rsidR="00706FF9" w:rsidRPr="00706FF9" w:rsidRDefault="00706FF9" w:rsidP="00706FF9">
      <w:pPr>
        <w:tabs>
          <w:tab w:val="left" w:pos="840"/>
        </w:tabs>
        <w:spacing w:after="0"/>
        <w:rPr>
          <w:rFonts w:ascii="Tw Cen MT" w:hAnsi="Tw Cen MT"/>
        </w:rPr>
      </w:pPr>
      <w:r w:rsidRPr="00706FF9">
        <w:rPr>
          <w:rFonts w:ascii="Tw Cen MT" w:hAnsi="Tw Cen MT"/>
        </w:rPr>
        <w:t xml:space="preserve"> </w:t>
      </w:r>
    </w:p>
    <w:p w14:paraId="7CE07547" w14:textId="6B951C7A" w:rsidR="00706FF9" w:rsidRDefault="00706FF9" w:rsidP="00706FF9">
      <w:pPr>
        <w:tabs>
          <w:tab w:val="left" w:pos="840"/>
        </w:tabs>
        <w:spacing w:after="0"/>
        <w:rPr>
          <w:rFonts w:ascii="Tw Cen MT" w:hAnsi="Tw Cen MT"/>
        </w:rPr>
      </w:pPr>
      <w:r w:rsidRPr="00706FF9">
        <w:rPr>
          <w:rFonts w:ascii="Tw Cen MT" w:hAnsi="Tw Cen MT"/>
        </w:rPr>
        <w:t>Times Tables</w:t>
      </w:r>
      <w:r w:rsidR="00AA13E6">
        <w:rPr>
          <w:rFonts w:ascii="Tw Cen MT" w:hAnsi="Tw Cen MT"/>
        </w:rPr>
        <w:t xml:space="preserve"> and other key fluency facts such as number bonds</w:t>
      </w:r>
      <w:r w:rsidRPr="00706FF9">
        <w:rPr>
          <w:rFonts w:ascii="Tw Cen MT" w:hAnsi="Tw Cen MT"/>
        </w:rPr>
        <w:t xml:space="preserve"> are taught throughout school and counting time is found during the week. </w:t>
      </w:r>
      <w:r w:rsidR="00AA13E6">
        <w:rPr>
          <w:rFonts w:ascii="Tw Cen MT" w:hAnsi="Tw Cen MT"/>
        </w:rPr>
        <w:t>To embed our learning of fluency, the use of</w:t>
      </w:r>
      <w:r w:rsidRPr="00706FF9">
        <w:rPr>
          <w:rFonts w:ascii="Tw Cen MT" w:hAnsi="Tw Cen MT"/>
        </w:rPr>
        <w:t xml:space="preserve"> T</w:t>
      </w:r>
      <w:r w:rsidR="00AA13E6">
        <w:rPr>
          <w:rFonts w:ascii="Tw Cen MT" w:hAnsi="Tw Cen MT"/>
        </w:rPr>
        <w:t xml:space="preserve">imes </w:t>
      </w:r>
      <w:r w:rsidRPr="00706FF9">
        <w:rPr>
          <w:rFonts w:ascii="Tw Cen MT" w:hAnsi="Tw Cen MT"/>
        </w:rPr>
        <w:t>T</w:t>
      </w:r>
      <w:r w:rsidR="00AA13E6">
        <w:rPr>
          <w:rFonts w:ascii="Tw Cen MT" w:hAnsi="Tw Cen MT"/>
        </w:rPr>
        <w:t xml:space="preserve">ables </w:t>
      </w:r>
      <w:r w:rsidRPr="00706FF9">
        <w:rPr>
          <w:rFonts w:ascii="Tw Cen MT" w:hAnsi="Tw Cen MT"/>
        </w:rPr>
        <w:t xml:space="preserve">Rockstars KS2 </w:t>
      </w:r>
      <w:r w:rsidR="00AA13E6">
        <w:rPr>
          <w:rFonts w:ascii="Tw Cen MT" w:hAnsi="Tw Cen MT"/>
        </w:rPr>
        <w:t>is used to improve</w:t>
      </w:r>
      <w:r w:rsidRPr="00706FF9">
        <w:rPr>
          <w:rFonts w:ascii="Tw Cen MT" w:hAnsi="Tw Cen MT"/>
        </w:rPr>
        <w:t xml:space="preserve"> speed and fluency</w:t>
      </w:r>
      <w:r w:rsidR="00AA13E6">
        <w:rPr>
          <w:rFonts w:ascii="Tw Cen MT" w:hAnsi="Tw Cen MT"/>
        </w:rPr>
        <w:t>. Fluency is tracked and monitored to ensure all children make progress and have access to challenging application of this key knowledge. Learning will be applied to different contexts as part of our planning, supported by White Rose sequencing and retrieval practice.</w:t>
      </w:r>
    </w:p>
    <w:p w14:paraId="2227BD9E" w14:textId="69A20F57" w:rsidR="00AA13E6" w:rsidRDefault="00AA13E6" w:rsidP="00706FF9">
      <w:pPr>
        <w:tabs>
          <w:tab w:val="left" w:pos="840"/>
        </w:tabs>
        <w:spacing w:after="0"/>
        <w:rPr>
          <w:rFonts w:ascii="Tw Cen MT" w:hAnsi="Tw Cen MT"/>
        </w:rPr>
      </w:pPr>
    </w:p>
    <w:p w14:paraId="5225D03E" w14:textId="152B81DF" w:rsidR="00706FF9" w:rsidRDefault="00AA13E6" w:rsidP="00706FF9">
      <w:pPr>
        <w:tabs>
          <w:tab w:val="left" w:pos="840"/>
        </w:tabs>
        <w:spacing w:after="0"/>
        <w:rPr>
          <w:rFonts w:ascii="Tw Cen MT" w:hAnsi="Tw Cen MT"/>
        </w:rPr>
      </w:pPr>
      <w:r>
        <w:rPr>
          <w:rFonts w:ascii="Tw Cen MT" w:hAnsi="Tw Cen MT"/>
        </w:rPr>
        <w:t>Children have the opportunity to use concrete resources and manipulatives to support their understanding. In our mastery approach, we empower all children to use strategies that support them to “see maths” and leave Gotham Primary with strong number sense. Our lessons also utilise pictorial and abstract representations of number, allowing children to model their thinking and explain their reasoning.</w:t>
      </w:r>
    </w:p>
    <w:p w14:paraId="412216E9" w14:textId="77777777" w:rsidR="00AA13E6" w:rsidRPr="00706FF9" w:rsidRDefault="00AA13E6" w:rsidP="00706FF9">
      <w:pPr>
        <w:tabs>
          <w:tab w:val="left" w:pos="840"/>
        </w:tabs>
        <w:spacing w:after="0"/>
        <w:rPr>
          <w:rFonts w:ascii="Tw Cen MT" w:hAnsi="Tw Cen MT"/>
        </w:rPr>
      </w:pPr>
    </w:p>
    <w:p w14:paraId="07373D98" w14:textId="77777777" w:rsidR="00AA13E6" w:rsidRPr="00AA13E6" w:rsidRDefault="00706FF9" w:rsidP="00706FF9">
      <w:pPr>
        <w:tabs>
          <w:tab w:val="left" w:pos="840"/>
        </w:tabs>
        <w:spacing w:after="0"/>
        <w:rPr>
          <w:rFonts w:ascii="Tw Cen MT" w:hAnsi="Tw Cen MT"/>
        </w:rPr>
      </w:pPr>
      <w:r w:rsidRPr="00706FF9">
        <w:rPr>
          <w:rFonts w:ascii="Tw Cen MT" w:hAnsi="Tw Cen MT"/>
        </w:rPr>
        <w:t>Children are encouraged to</w:t>
      </w:r>
      <w:r w:rsidR="00AA13E6">
        <w:rPr>
          <w:rFonts w:ascii="Tw Cen MT" w:hAnsi="Tw Cen MT"/>
        </w:rPr>
        <w:t xml:space="preserve"> participate, collaborate, and</w:t>
      </w:r>
      <w:r w:rsidRPr="00706FF9">
        <w:rPr>
          <w:rFonts w:ascii="Tw Cen MT" w:hAnsi="Tw Cen MT"/>
        </w:rPr>
        <w:t xml:space="preserve"> </w:t>
      </w:r>
      <w:r w:rsidR="00AA13E6">
        <w:rPr>
          <w:rFonts w:ascii="Tw Cen MT" w:hAnsi="Tw Cen MT"/>
        </w:rPr>
        <w:t>explain their reasoning through the use of learning partners.</w:t>
      </w:r>
      <w:r w:rsidRPr="00706FF9">
        <w:rPr>
          <w:rFonts w:ascii="Tw Cen MT" w:hAnsi="Tw Cen MT"/>
        </w:rPr>
        <w:t xml:space="preserve"> </w:t>
      </w:r>
      <w:r w:rsidR="00AA13E6">
        <w:rPr>
          <w:rFonts w:ascii="Tw Cen MT" w:hAnsi="Tw Cen MT"/>
        </w:rPr>
        <w:t>Through use of</w:t>
      </w:r>
      <w:r w:rsidRPr="00706FF9">
        <w:rPr>
          <w:rFonts w:ascii="Tw Cen MT" w:hAnsi="Tw Cen MT"/>
        </w:rPr>
        <w:t xml:space="preserve"> mathematical vocabulary</w:t>
      </w:r>
      <w:r w:rsidR="00AA13E6">
        <w:rPr>
          <w:rFonts w:ascii="Tw Cen MT" w:hAnsi="Tw Cen MT"/>
        </w:rPr>
        <w:t xml:space="preserve">, modelled by adults and peers, </w:t>
      </w:r>
      <w:r w:rsidRPr="00706FF9">
        <w:rPr>
          <w:rFonts w:ascii="Tw Cen MT" w:hAnsi="Tw Cen MT"/>
        </w:rPr>
        <w:t xml:space="preserve">stem sentences </w:t>
      </w:r>
      <w:r w:rsidR="00AA13E6">
        <w:rPr>
          <w:rFonts w:ascii="Tw Cen MT" w:hAnsi="Tw Cen MT"/>
        </w:rPr>
        <w:t xml:space="preserve">support </w:t>
      </w:r>
      <w:r w:rsidR="00AA13E6" w:rsidRPr="00AA13E6">
        <w:rPr>
          <w:rFonts w:ascii="Tw Cen MT" w:hAnsi="Tw Cen MT"/>
        </w:rPr>
        <w:t>their understanding and consolidate children’s learning.</w:t>
      </w:r>
    </w:p>
    <w:p w14:paraId="2652DD25" w14:textId="06FBDC18" w:rsidR="00706FF9" w:rsidRPr="00AA13E6" w:rsidRDefault="00706FF9" w:rsidP="00706FF9">
      <w:pPr>
        <w:tabs>
          <w:tab w:val="left" w:pos="840"/>
        </w:tabs>
        <w:spacing w:after="0"/>
        <w:rPr>
          <w:rFonts w:ascii="Tw Cen MT" w:hAnsi="Tw Cen MT"/>
        </w:rPr>
      </w:pPr>
      <w:r w:rsidRPr="00AA13E6">
        <w:rPr>
          <w:rFonts w:ascii="Tw Cen MT" w:hAnsi="Tw Cen MT"/>
        </w:rPr>
        <w:t xml:space="preserve">  </w:t>
      </w:r>
    </w:p>
    <w:p w14:paraId="3162DAEF" w14:textId="5032039B" w:rsidR="008C7512" w:rsidRPr="00AA13E6" w:rsidRDefault="00AA13E6" w:rsidP="00706FF9">
      <w:pPr>
        <w:spacing w:after="0"/>
        <w:jc w:val="both"/>
        <w:rPr>
          <w:rFonts w:ascii="Tw Cen MT" w:hAnsi="Tw Cen MT"/>
        </w:rPr>
      </w:pPr>
      <w:r w:rsidRPr="00AA13E6">
        <w:rPr>
          <w:rFonts w:ascii="Tw Cen MT" w:eastAsia="Tw Cen MT" w:hAnsi="Tw Cen MT" w:cs="Tw Cen MT"/>
        </w:rPr>
        <w:t xml:space="preserve">We are supported by the Maths Hub </w:t>
      </w:r>
      <w:r>
        <w:rPr>
          <w:rFonts w:ascii="Tw Cen MT" w:eastAsia="Tw Cen MT" w:hAnsi="Tw Cen MT" w:cs="Tw Cen MT"/>
        </w:rPr>
        <w:t>on our mastery journey.</w:t>
      </w:r>
      <w:r w:rsidRPr="00AA13E6">
        <w:rPr>
          <w:rFonts w:ascii="Tw Cen MT" w:eastAsia="Tw Cen MT" w:hAnsi="Tw Cen MT" w:cs="Tw Cen MT"/>
        </w:rPr>
        <w:t xml:space="preserve"> </w:t>
      </w:r>
      <w:r w:rsidR="00805E96" w:rsidRPr="00AA13E6">
        <w:rPr>
          <w:rFonts w:ascii="Tw Cen MT" w:eastAsia="Tw Cen MT" w:hAnsi="Tw Cen MT" w:cs="Tw Cen MT"/>
        </w:rPr>
        <w:t xml:space="preserve"> </w:t>
      </w:r>
      <w:bookmarkStart w:id="0" w:name="_GoBack"/>
      <w:bookmarkEnd w:id="0"/>
    </w:p>
    <w:sectPr w:rsidR="008C7512" w:rsidRPr="00AA13E6" w:rsidSect="00091C45">
      <w:pgSz w:w="16838" w:h="11906" w:orient="landscape"/>
      <w:pgMar w:top="426" w:right="720" w:bottom="284"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35D66"/>
    <w:multiLevelType w:val="hybridMultilevel"/>
    <w:tmpl w:val="95D20D30"/>
    <w:lvl w:ilvl="0" w:tplc="50BE21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CC8DBA">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2667A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F8F868">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7E9598">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82EDF8">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1A005E">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2C474C">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B2A89C">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E46875"/>
    <w:multiLevelType w:val="hybridMultilevel"/>
    <w:tmpl w:val="59CA1F68"/>
    <w:lvl w:ilvl="0" w:tplc="51267AAE">
      <w:start w:val="1"/>
      <w:numFmt w:val="decimal"/>
      <w:lvlText w:val="%1."/>
      <w:lvlJc w:val="left"/>
      <w:pPr>
        <w:ind w:left="1"/>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lvl w:ilvl="1" w:tplc="047A0098">
      <w:start w:val="1"/>
      <w:numFmt w:val="lowerLetter"/>
      <w:lvlText w:val="%2"/>
      <w:lvlJc w:val="left"/>
      <w:pPr>
        <w:ind w:left="1188"/>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lvl w:ilvl="2" w:tplc="43FA4C40">
      <w:start w:val="1"/>
      <w:numFmt w:val="lowerRoman"/>
      <w:lvlText w:val="%3"/>
      <w:lvlJc w:val="left"/>
      <w:pPr>
        <w:ind w:left="1908"/>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lvl w:ilvl="3" w:tplc="C3680B22">
      <w:start w:val="1"/>
      <w:numFmt w:val="decimal"/>
      <w:lvlText w:val="%4"/>
      <w:lvlJc w:val="left"/>
      <w:pPr>
        <w:ind w:left="2628"/>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lvl w:ilvl="4" w:tplc="84A8BBF8">
      <w:start w:val="1"/>
      <w:numFmt w:val="lowerLetter"/>
      <w:lvlText w:val="%5"/>
      <w:lvlJc w:val="left"/>
      <w:pPr>
        <w:ind w:left="3348"/>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lvl w:ilvl="5" w:tplc="AC223BA6">
      <w:start w:val="1"/>
      <w:numFmt w:val="lowerRoman"/>
      <w:lvlText w:val="%6"/>
      <w:lvlJc w:val="left"/>
      <w:pPr>
        <w:ind w:left="4068"/>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lvl w:ilvl="6" w:tplc="DBCA9848">
      <w:start w:val="1"/>
      <w:numFmt w:val="decimal"/>
      <w:lvlText w:val="%7"/>
      <w:lvlJc w:val="left"/>
      <w:pPr>
        <w:ind w:left="4788"/>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lvl w:ilvl="7" w:tplc="9F4491CC">
      <w:start w:val="1"/>
      <w:numFmt w:val="lowerLetter"/>
      <w:lvlText w:val="%8"/>
      <w:lvlJc w:val="left"/>
      <w:pPr>
        <w:ind w:left="5508"/>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lvl w:ilvl="8" w:tplc="C3DA3E2C">
      <w:start w:val="1"/>
      <w:numFmt w:val="lowerRoman"/>
      <w:lvlText w:val="%9"/>
      <w:lvlJc w:val="left"/>
      <w:pPr>
        <w:ind w:left="6228"/>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197C6C"/>
    <w:multiLevelType w:val="hybridMultilevel"/>
    <w:tmpl w:val="10701CC4"/>
    <w:lvl w:ilvl="0" w:tplc="E4A88FFE">
      <w:start w:val="1"/>
      <w:numFmt w:val="decimal"/>
      <w:lvlText w:val="%1."/>
      <w:lvlJc w:val="left"/>
      <w:pPr>
        <w:ind w:left="721"/>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lvl w:ilvl="1" w:tplc="682CFCDA">
      <w:start w:val="1"/>
      <w:numFmt w:val="lowerLetter"/>
      <w:lvlText w:val="%2"/>
      <w:lvlJc w:val="left"/>
      <w:pPr>
        <w:ind w:left="1548"/>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lvl w:ilvl="2" w:tplc="D40667F8">
      <w:start w:val="1"/>
      <w:numFmt w:val="lowerRoman"/>
      <w:lvlText w:val="%3"/>
      <w:lvlJc w:val="left"/>
      <w:pPr>
        <w:ind w:left="2268"/>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lvl w:ilvl="3" w:tplc="35AEAF78">
      <w:start w:val="1"/>
      <w:numFmt w:val="decimal"/>
      <w:lvlText w:val="%4"/>
      <w:lvlJc w:val="left"/>
      <w:pPr>
        <w:ind w:left="2988"/>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lvl w:ilvl="4" w:tplc="17FED3A4">
      <w:start w:val="1"/>
      <w:numFmt w:val="lowerLetter"/>
      <w:lvlText w:val="%5"/>
      <w:lvlJc w:val="left"/>
      <w:pPr>
        <w:ind w:left="3708"/>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lvl w:ilvl="5" w:tplc="D4045F82">
      <w:start w:val="1"/>
      <w:numFmt w:val="lowerRoman"/>
      <w:lvlText w:val="%6"/>
      <w:lvlJc w:val="left"/>
      <w:pPr>
        <w:ind w:left="4428"/>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lvl w:ilvl="6" w:tplc="5F383D80">
      <w:start w:val="1"/>
      <w:numFmt w:val="decimal"/>
      <w:lvlText w:val="%7"/>
      <w:lvlJc w:val="left"/>
      <w:pPr>
        <w:ind w:left="5148"/>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lvl w:ilvl="7" w:tplc="DE560EF6">
      <w:start w:val="1"/>
      <w:numFmt w:val="lowerLetter"/>
      <w:lvlText w:val="%8"/>
      <w:lvlJc w:val="left"/>
      <w:pPr>
        <w:ind w:left="5868"/>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lvl w:ilvl="8" w:tplc="770A3D70">
      <w:start w:val="1"/>
      <w:numFmt w:val="lowerRoman"/>
      <w:lvlText w:val="%9"/>
      <w:lvlJc w:val="left"/>
      <w:pPr>
        <w:ind w:left="6588"/>
      </w:pPr>
      <w:rPr>
        <w:rFonts w:ascii="Tw Cen MT" w:eastAsia="Tw Cen MT" w:hAnsi="Tw Cen MT" w:cs="Tw Cen MT"/>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GB" w:vendorID="64" w:dllVersion="131078" w:nlCheck="1" w:checkStyle="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12"/>
    <w:rsid w:val="00091C45"/>
    <w:rsid w:val="00111EAA"/>
    <w:rsid w:val="00172851"/>
    <w:rsid w:val="00405E52"/>
    <w:rsid w:val="005F6B73"/>
    <w:rsid w:val="00706FF9"/>
    <w:rsid w:val="007A157F"/>
    <w:rsid w:val="00805E96"/>
    <w:rsid w:val="00815A5D"/>
    <w:rsid w:val="008C7512"/>
    <w:rsid w:val="00AA1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B83D"/>
  <w15:docId w15:val="{DC2B6458-0175-4B0D-8585-5D844A36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F6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D0499CB5EA7F469C3BC3E0566F3930" ma:contentTypeVersion="14" ma:contentTypeDescription="Create a new document." ma:contentTypeScope="" ma:versionID="cdee530669a5ac5c420a53144ce4b784">
  <xsd:schema xmlns:xsd="http://www.w3.org/2001/XMLSchema" xmlns:xs="http://www.w3.org/2001/XMLSchema" xmlns:p="http://schemas.microsoft.com/office/2006/metadata/properties" xmlns:ns3="6d178f96-9d3d-4679-871f-951d96c7ccd2" xmlns:ns4="0c78dca3-e482-4c86-ac8b-23e933631fc3" targetNamespace="http://schemas.microsoft.com/office/2006/metadata/properties" ma:root="true" ma:fieldsID="e234b83ca3693717abb131bc07ece4ed" ns3:_="" ns4:_="">
    <xsd:import namespace="6d178f96-9d3d-4679-871f-951d96c7ccd2"/>
    <xsd:import namespace="0c78dca3-e482-4c86-ac8b-23e933631f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78f96-9d3d-4679-871f-951d96c7cc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8dca3-e482-4c86-ac8b-23e933631f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949A2-CBD2-4B3C-A9B9-ED99C2BCA61E}">
  <ds:schemaRefs>
    <ds:schemaRef ds:uri="http://schemas.microsoft.com/sharepoint/v3/contenttype/forms"/>
  </ds:schemaRefs>
</ds:datastoreItem>
</file>

<file path=customXml/itemProps2.xml><?xml version="1.0" encoding="utf-8"?>
<ds:datastoreItem xmlns:ds="http://schemas.openxmlformats.org/officeDocument/2006/customXml" ds:itemID="{A1A73016-5D3A-4B7B-8E24-55D88F32B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78f96-9d3d-4679-871f-951d96c7ccd2"/>
    <ds:schemaRef ds:uri="0c78dca3-e482-4c86-ac8b-23e933631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279ED-50B3-40A3-8B2E-793BEA84256F}">
  <ds:schemaRefs>
    <ds:schemaRef ds:uri="0c78dca3-e482-4c86-ac8b-23e933631fc3"/>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6d178f96-9d3d-4679-871f-951d96c7ccd2"/>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Swinfield</dc:creator>
  <cp:keywords/>
  <cp:lastModifiedBy>H Thomas</cp:lastModifiedBy>
  <cp:revision>2</cp:revision>
  <dcterms:created xsi:type="dcterms:W3CDTF">2022-06-26T22:34:00Z</dcterms:created>
  <dcterms:modified xsi:type="dcterms:W3CDTF">2022-06-26T22:34:00Z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0x01010052D0499CB5EA7F469C3BC3E0566F3930</vt:lpwstr>
  </property>
</Properties>
</file>